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14" w:rsidRPr="009B6317" w:rsidRDefault="00A23C75">
      <w:pPr>
        <w:rPr>
          <w:rFonts w:ascii="Times New Roman" w:hAnsi="Times New Roman" w:cs="Times New Roman"/>
          <w:b/>
          <w:sz w:val="28"/>
        </w:rPr>
      </w:pPr>
      <w:r w:rsidRPr="009B6317">
        <w:rPr>
          <w:rFonts w:ascii="Times New Roman" w:hAnsi="Times New Roman" w:cs="Times New Roman"/>
          <w:b/>
          <w:sz w:val="28"/>
        </w:rPr>
        <w:t>Module 3</w:t>
      </w:r>
      <w:r w:rsidR="004E3A2D" w:rsidRPr="009B6317">
        <w:rPr>
          <w:rFonts w:ascii="Times New Roman" w:hAnsi="Times New Roman" w:cs="Times New Roman"/>
          <w:b/>
          <w:sz w:val="28"/>
        </w:rPr>
        <w:t xml:space="preserve"> </w:t>
      </w:r>
      <w:r w:rsidR="00E46E21" w:rsidRPr="009B6317">
        <w:rPr>
          <w:rFonts w:ascii="Times New Roman" w:hAnsi="Times New Roman" w:cs="Times New Roman"/>
          <w:b/>
          <w:sz w:val="28"/>
        </w:rPr>
        <w:t>Objectives</w:t>
      </w:r>
    </w:p>
    <w:p w:rsidR="009B6317" w:rsidRPr="009B6317" w:rsidRDefault="009B6317">
      <w:pPr>
        <w:rPr>
          <w:rFonts w:ascii="Times New Roman" w:hAnsi="Times New Roman" w:cs="Times New Roman"/>
          <w:sz w:val="24"/>
        </w:rPr>
      </w:pPr>
    </w:p>
    <w:p w:rsidR="009B6317" w:rsidRDefault="009B6317" w:rsidP="009B6317">
      <w:pPr>
        <w:rPr>
          <w:rFonts w:ascii="Times New Roman" w:hAnsi="Times New Roman" w:cs="Times New Roman"/>
          <w:b/>
          <w:i/>
          <w:sz w:val="24"/>
        </w:rPr>
      </w:pPr>
      <w:r w:rsidRPr="009B6317">
        <w:rPr>
          <w:rFonts w:ascii="Times New Roman" w:hAnsi="Times New Roman" w:cs="Times New Roman"/>
          <w:b/>
          <w:i/>
          <w:sz w:val="24"/>
        </w:rPr>
        <w:t>Chapter 38 Vascular Disorders</w:t>
      </w:r>
    </w:p>
    <w:p w:rsidR="00564FE4" w:rsidRDefault="00564FE4" w:rsidP="009B6317">
      <w:pPr>
        <w:rPr>
          <w:rFonts w:ascii="Times New Roman" w:hAnsi="Times New Roman" w:cs="Times New Roman"/>
          <w:b/>
          <w:i/>
          <w:sz w:val="24"/>
        </w:rPr>
      </w:pPr>
    </w:p>
    <w:p w:rsidR="009B6317" w:rsidRPr="009B6317" w:rsidRDefault="009B6317" w:rsidP="009B6317">
      <w:pPr>
        <w:rPr>
          <w:rFonts w:ascii="Times New Roman" w:hAnsi="Times New Roman" w:cs="Times New Roman"/>
          <w:b/>
          <w:sz w:val="24"/>
        </w:rPr>
      </w:pPr>
    </w:p>
    <w:p w:rsidR="009B6317" w:rsidRDefault="00564FE4" w:rsidP="009B6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Relate the major risk factors to the etiology and pathophysiology of peripheral artery disease (PAD)</w:t>
      </w:r>
      <w:r w:rsidR="002F07D7">
        <w:rPr>
          <w:rFonts w:ascii="Times New Roman" w:hAnsi="Times New Roman" w:cs="Times New Roman"/>
          <w:sz w:val="24"/>
        </w:rPr>
        <w:t>.</w:t>
      </w:r>
    </w:p>
    <w:p w:rsidR="00564FE4" w:rsidRDefault="00564FE4" w:rsidP="009B63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clinical manifestations, collaborative care, and surgical and nursing management o</w:t>
      </w:r>
      <w:r w:rsidR="002F07D7">
        <w:rPr>
          <w:rFonts w:ascii="Times New Roman" w:hAnsi="Times New Roman" w:cs="Times New Roman"/>
          <w:sz w:val="24"/>
        </w:rPr>
        <w:t>f PAD of the lower extremities.</w:t>
      </w:r>
    </w:p>
    <w:p w:rsidR="002F07D7" w:rsidRDefault="002F07D7" w:rsidP="002F07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appropriate nursing care for the patient with acute arterial ischemic disorders of the lower extremities.</w:t>
      </w:r>
    </w:p>
    <w:p w:rsidR="002F07D7" w:rsidRDefault="002F07D7" w:rsidP="002F07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Evaluate the risk factors predisposing patients to the development of superficial vein thrombosis and venous thromboembolism (VTE).</w:t>
      </w:r>
    </w:p>
    <w:p w:rsidR="002F07D7" w:rsidRDefault="002F07D7" w:rsidP="002F07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between the clinical characteristics of superficial vein thrombosis and VTE.</w:t>
      </w:r>
    </w:p>
    <w:p w:rsidR="002F07D7" w:rsidRDefault="002F07D7" w:rsidP="002F07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 and contrast the collaborative care and nursing management of patients with superficial vein thrombosis and VTE.</w:t>
      </w:r>
    </w:p>
    <w:p w:rsidR="002F07D7" w:rsidRDefault="002F07D7" w:rsidP="002F07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Prioritize the key aspects of nursing management of the patient receiving anticoagulant therapy.</w:t>
      </w:r>
    </w:p>
    <w:p w:rsidR="002F07D7" w:rsidRPr="002F07D7" w:rsidRDefault="002F07D7" w:rsidP="002F07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Relate the pathophysiology and clinical manifestations to the collaborative care of patients with varicose veins, chronic venous insufficiency, and venous leg ulcers. </w:t>
      </w:r>
    </w:p>
    <w:p w:rsidR="009B6317" w:rsidRPr="009B6317" w:rsidRDefault="009B6317">
      <w:pPr>
        <w:rPr>
          <w:rFonts w:ascii="Times New Roman" w:hAnsi="Times New Roman" w:cs="Times New Roman"/>
          <w:sz w:val="24"/>
        </w:rPr>
      </w:pPr>
    </w:p>
    <w:p w:rsidR="004E3A2D" w:rsidRPr="009B6317" w:rsidRDefault="004E3A2D">
      <w:pPr>
        <w:rPr>
          <w:rFonts w:ascii="Times New Roman" w:hAnsi="Times New Roman" w:cs="Times New Roman"/>
          <w:sz w:val="24"/>
        </w:rPr>
      </w:pPr>
    </w:p>
    <w:p w:rsidR="004E3A2D" w:rsidRPr="009B6317" w:rsidRDefault="00A23C75">
      <w:pPr>
        <w:rPr>
          <w:rFonts w:ascii="Times New Roman" w:hAnsi="Times New Roman" w:cs="Times New Roman"/>
          <w:b/>
          <w:i/>
          <w:sz w:val="24"/>
        </w:rPr>
      </w:pPr>
      <w:r w:rsidRPr="009B6317">
        <w:rPr>
          <w:rFonts w:ascii="Times New Roman" w:hAnsi="Times New Roman" w:cs="Times New Roman"/>
          <w:b/>
          <w:i/>
          <w:sz w:val="24"/>
        </w:rPr>
        <w:t>Chapter 31</w:t>
      </w:r>
      <w:r w:rsidR="009B6317" w:rsidRPr="009B6317">
        <w:rPr>
          <w:rFonts w:ascii="Times New Roman" w:hAnsi="Times New Roman" w:cs="Times New Roman"/>
          <w:b/>
          <w:i/>
          <w:sz w:val="24"/>
        </w:rPr>
        <w:t xml:space="preserve"> Hematology</w:t>
      </w:r>
    </w:p>
    <w:p w:rsidR="00A23C75" w:rsidRPr="009B6317" w:rsidRDefault="00A23C75" w:rsidP="0027402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AD30F9" w:rsidRPr="009B6317" w:rsidRDefault="00AD30F9" w:rsidP="00AD30F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</w:rPr>
      </w:pPr>
      <w:r w:rsidRPr="009B6317">
        <w:rPr>
          <w:rFonts w:ascii="Times New Roman" w:eastAsia="Times New Roman" w:hAnsi="Times New Roman" w:cs="Times New Roman"/>
          <w:color w:val="000000"/>
          <w:sz w:val="24"/>
        </w:rPr>
        <w:t>Describe the general clinical manifestations and complications of anemia.</w:t>
      </w:r>
    </w:p>
    <w:p w:rsidR="00AD30F9" w:rsidRPr="009B6317" w:rsidRDefault="00AD30F9" w:rsidP="00AD30F9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9B6317">
        <w:rPr>
          <w:rFonts w:ascii="Times New Roman" w:eastAsia="Times New Roman" w:hAnsi="Times New Roman" w:cs="Times New Roman"/>
          <w:color w:val="000000"/>
          <w:sz w:val="24"/>
        </w:rPr>
        <w:t>Explain the nursing management of anemia secondary to blood loss.</w:t>
      </w:r>
    </w:p>
    <w:p w:rsidR="00AD30F9" w:rsidRPr="009B6317" w:rsidRDefault="00AD30F9" w:rsidP="00AD30F9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color w:val="000000"/>
          <w:sz w:val="24"/>
        </w:rPr>
      </w:pPr>
      <w:r w:rsidRPr="009B6317">
        <w:rPr>
          <w:rFonts w:ascii="Times New Roman" w:eastAsia="Times New Roman" w:hAnsi="Times New Roman" w:cs="Times New Roman"/>
          <w:color w:val="000000"/>
          <w:sz w:val="24"/>
        </w:rPr>
        <w:t>Explain the pathophysiology, clinical manifestations, and nursing and collaborative management of various types of thrombocytopenia.</w:t>
      </w:r>
    </w:p>
    <w:p w:rsidR="00AD30F9" w:rsidRPr="009B6317" w:rsidRDefault="00AD30F9" w:rsidP="00AD30F9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color w:val="000000"/>
          <w:sz w:val="24"/>
        </w:rPr>
      </w:pPr>
      <w:r w:rsidRPr="009B6317">
        <w:rPr>
          <w:rFonts w:ascii="Times New Roman" w:eastAsia="Times New Roman" w:hAnsi="Times New Roman" w:cs="Times New Roman"/>
          <w:color w:val="000000"/>
          <w:sz w:val="24"/>
        </w:rPr>
        <w:t>Explain the pathophysiology, diagnostic findings, and nursing and collaborative management of disseminated intravascular coagulation.</w:t>
      </w:r>
    </w:p>
    <w:p w:rsidR="00AD30F9" w:rsidRPr="009B6317" w:rsidRDefault="00AD30F9" w:rsidP="00AD30F9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color w:val="000000"/>
          <w:sz w:val="24"/>
        </w:rPr>
      </w:pPr>
      <w:r w:rsidRPr="009B6317">
        <w:rPr>
          <w:rFonts w:ascii="Times New Roman" w:eastAsia="Times New Roman" w:hAnsi="Times New Roman" w:cs="Times New Roman"/>
          <w:color w:val="000000"/>
          <w:sz w:val="24"/>
        </w:rPr>
        <w:t>Describe the etiology, clinical manifestations, and nursing and collaborative management of neutropenia.</w:t>
      </w:r>
    </w:p>
    <w:p w:rsidR="00AD30F9" w:rsidRPr="009B6317" w:rsidRDefault="00AD30F9" w:rsidP="00AD30F9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color w:val="000000"/>
          <w:sz w:val="24"/>
        </w:rPr>
      </w:pPr>
      <w:r w:rsidRPr="009B6317">
        <w:rPr>
          <w:rFonts w:ascii="Times New Roman" w:eastAsia="Times New Roman" w:hAnsi="Times New Roman" w:cs="Times New Roman"/>
          <w:color w:val="000000"/>
          <w:sz w:val="24"/>
        </w:rPr>
        <w:t>Compare and contrast the major types of leukemia regarding distinguishing clinical and laboratory findings.</w:t>
      </w:r>
    </w:p>
    <w:p w:rsidR="00AD30F9" w:rsidRPr="009B6317" w:rsidRDefault="00AD30F9" w:rsidP="00AD30F9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color w:val="000000"/>
          <w:sz w:val="24"/>
        </w:rPr>
      </w:pPr>
      <w:r w:rsidRPr="009B6317">
        <w:rPr>
          <w:rFonts w:ascii="Times New Roman" w:eastAsia="Times New Roman" w:hAnsi="Times New Roman" w:cs="Times New Roman"/>
          <w:color w:val="000000"/>
          <w:sz w:val="24"/>
        </w:rPr>
        <w:t xml:space="preserve">Explain the nursing and collaborative management of acute and chronic </w:t>
      </w:r>
      <w:proofErr w:type="spellStart"/>
      <w:r w:rsidRPr="009B6317">
        <w:rPr>
          <w:rFonts w:ascii="Times New Roman" w:eastAsia="Times New Roman" w:hAnsi="Times New Roman" w:cs="Times New Roman"/>
          <w:color w:val="000000"/>
          <w:sz w:val="24"/>
        </w:rPr>
        <w:t>leukemias</w:t>
      </w:r>
      <w:proofErr w:type="spellEnd"/>
      <w:r w:rsidRPr="009B631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D30F9" w:rsidRPr="00234825" w:rsidRDefault="00AD30F9" w:rsidP="00234825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color w:val="000000"/>
          <w:sz w:val="24"/>
        </w:rPr>
      </w:pPr>
      <w:r w:rsidRPr="009B6317">
        <w:rPr>
          <w:rFonts w:ascii="Times New Roman" w:eastAsia="Times New Roman" w:hAnsi="Times New Roman" w:cs="Times New Roman"/>
          <w:color w:val="000000"/>
          <w:sz w:val="24"/>
        </w:rPr>
        <w:t>Compare Hodgkin’s lymphoma and non-Hodgkin’s lymphomas in terms of clinical manifestations, staging, and nursing and collaborative management.</w:t>
      </w:r>
    </w:p>
    <w:sectPr w:rsidR="00AD30F9" w:rsidRPr="0023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48E7"/>
    <w:multiLevelType w:val="multilevel"/>
    <w:tmpl w:val="F0EAD2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2EF3F40"/>
    <w:multiLevelType w:val="hybridMultilevel"/>
    <w:tmpl w:val="94C4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5EC"/>
    <w:multiLevelType w:val="multilevel"/>
    <w:tmpl w:val="95D82B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A924237"/>
    <w:multiLevelType w:val="hybridMultilevel"/>
    <w:tmpl w:val="D5DAC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F0733"/>
    <w:multiLevelType w:val="hybridMultilevel"/>
    <w:tmpl w:val="B2E6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30386"/>
    <w:multiLevelType w:val="hybridMultilevel"/>
    <w:tmpl w:val="7426408E"/>
    <w:lvl w:ilvl="0" w:tplc="6A56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F0A4E"/>
    <w:multiLevelType w:val="multilevel"/>
    <w:tmpl w:val="228485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4463D4B"/>
    <w:multiLevelType w:val="multilevel"/>
    <w:tmpl w:val="4BFE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76352F"/>
    <w:multiLevelType w:val="multilevel"/>
    <w:tmpl w:val="08DA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0734F"/>
    <w:multiLevelType w:val="hybridMultilevel"/>
    <w:tmpl w:val="F88C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D"/>
    <w:rsid w:val="00153C2E"/>
    <w:rsid w:val="00234825"/>
    <w:rsid w:val="00274024"/>
    <w:rsid w:val="002F07D7"/>
    <w:rsid w:val="004E3A2D"/>
    <w:rsid w:val="00564FE4"/>
    <w:rsid w:val="00644624"/>
    <w:rsid w:val="008B5C14"/>
    <w:rsid w:val="009B6317"/>
    <w:rsid w:val="00A23C75"/>
    <w:rsid w:val="00AD30F9"/>
    <w:rsid w:val="00E46E21"/>
    <w:rsid w:val="00E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709EA-7732-4AA5-AB8A-24C20A50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3A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3A2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3A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3A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7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3</cp:revision>
  <dcterms:created xsi:type="dcterms:W3CDTF">2016-07-13T21:55:00Z</dcterms:created>
  <dcterms:modified xsi:type="dcterms:W3CDTF">2016-07-13T21:59:00Z</dcterms:modified>
</cp:coreProperties>
</file>